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950A3" w14:textId="77777777" w:rsidR="00C64B1B" w:rsidRPr="00BD2101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1418"/>
        <w:gridCol w:w="6378"/>
        <w:gridCol w:w="4395"/>
        <w:gridCol w:w="1359"/>
      </w:tblGrid>
      <w:tr w:rsidR="00A06425" w:rsidRPr="00BD2101" w14:paraId="2F5918CA" w14:textId="77777777" w:rsidTr="00A06425">
        <w:tc>
          <w:tcPr>
            <w:tcW w:w="15388" w:type="dxa"/>
            <w:gridSpan w:val="6"/>
            <w:vAlign w:val="center"/>
          </w:tcPr>
          <w:p w14:paraId="16EA234E" w14:textId="035D42EE" w:rsidR="00A06425" w:rsidRPr="00BD2101" w:rsidRDefault="00A06425" w:rsidP="0017397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2101">
              <w:rPr>
                <w:rFonts w:asciiTheme="minorHAnsi" w:hAnsiTheme="minorHAnsi" w:cstheme="minorHAnsi"/>
                <w:b/>
                <w:sz w:val="22"/>
                <w:szCs w:val="22"/>
              </w:rPr>
              <w:t>Nazwa dokumentu:</w:t>
            </w:r>
            <w:r w:rsidR="00D135A1" w:rsidRPr="00D135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projekt rozporządzenia Ministra Zdrowia w sprawie rejestru endoprotezoplastyk (MZ DER 1804)</w:t>
            </w:r>
          </w:p>
        </w:tc>
      </w:tr>
      <w:tr w:rsidR="00A06425" w:rsidRPr="00A06425" w14:paraId="08DE538C" w14:textId="77777777" w:rsidTr="0025593E">
        <w:tc>
          <w:tcPr>
            <w:tcW w:w="562" w:type="dxa"/>
            <w:vAlign w:val="center"/>
          </w:tcPr>
          <w:p w14:paraId="0818D2B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276" w:type="dxa"/>
            <w:vAlign w:val="center"/>
          </w:tcPr>
          <w:p w14:paraId="3B58FF2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418" w:type="dxa"/>
            <w:vAlign w:val="center"/>
          </w:tcPr>
          <w:p w14:paraId="6040CC3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378" w:type="dxa"/>
            <w:vAlign w:val="center"/>
          </w:tcPr>
          <w:p w14:paraId="30E62B8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395" w:type="dxa"/>
            <w:vAlign w:val="center"/>
          </w:tcPr>
          <w:p w14:paraId="0921791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42F6263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17295F71" w14:textId="77777777" w:rsidTr="002C6677">
        <w:tc>
          <w:tcPr>
            <w:tcW w:w="562" w:type="dxa"/>
            <w:vAlign w:val="center"/>
          </w:tcPr>
          <w:p w14:paraId="5437E4B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7F4D5B66" w14:textId="77777777" w:rsidR="00A06425" w:rsidRPr="00A06425" w:rsidRDefault="00F93CF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Rządowe Centrum Legislacji</w:t>
            </w:r>
          </w:p>
        </w:tc>
        <w:tc>
          <w:tcPr>
            <w:tcW w:w="1418" w:type="dxa"/>
            <w:vAlign w:val="center"/>
          </w:tcPr>
          <w:p w14:paraId="55B856FB" w14:textId="796A022F" w:rsidR="00A06425" w:rsidRPr="00A06425" w:rsidRDefault="00D135A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§ 2</w:t>
            </w:r>
          </w:p>
        </w:tc>
        <w:tc>
          <w:tcPr>
            <w:tcW w:w="6378" w:type="dxa"/>
          </w:tcPr>
          <w:p w14:paraId="0D514A4C" w14:textId="0BAFD0E9" w:rsidR="00A06425" w:rsidRPr="00BD2101" w:rsidRDefault="00D135A1" w:rsidP="002C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§ 2 projektu określa cel prowadzenia rejestru endoprotezoplastyk stanowiąc, że rejestr jest prowadzony w celu „systematycznego procesu monitorowania danych dotyczących endoprotezoplastyk stawowych, analizy jakości implantów i udzielanych świadczeń opieki zdrowotnej”. Natomiast art. 20 ust. 1 </w:t>
            </w:r>
            <w:r w:rsidRPr="00C152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ustawy z dnia 28 kwietnia 2011</w:t>
            </w:r>
            <w:r w:rsidR="00AC0C2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 </w:t>
            </w:r>
            <w:r w:rsidRPr="00C1525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r. o systemie informacji w ochronie zdrowia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(Dz. U. z 2026 r. poz.</w:t>
            </w:r>
            <w:r w:rsidR="00AC0C2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>208 i 252) upoważnia Ministra Zdrowia do określenia podmiotu prowadzącego rejestr, sposobu prowadzenia rejestru, administratora systemu teleinformatycznego, usługodawców obowiązanych do przekazywania danych, zakresu przedmiotowego rejestru oraz zakresu i rodzaju danych przetwarzanych w rejestrze. Wskazan</w:t>
            </w:r>
            <w:r w:rsidR="00C52E9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52E97">
              <w:rPr>
                <w:rFonts w:asciiTheme="minorHAnsi" w:hAnsiTheme="minorHAnsi" w:cstheme="minorHAnsi"/>
                <w:sz w:val="22"/>
                <w:szCs w:val="22"/>
              </w:rPr>
              <w:t>upoważnienie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ustawow</w:t>
            </w:r>
            <w:r w:rsidR="00C52E9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nie </w:t>
            </w:r>
            <w:r w:rsidR="00C52E97">
              <w:rPr>
                <w:rFonts w:asciiTheme="minorHAnsi" w:hAnsiTheme="minorHAnsi" w:cstheme="minorHAnsi"/>
                <w:sz w:val="22"/>
                <w:szCs w:val="22"/>
              </w:rPr>
              <w:t>deleguje na ministra właściwego do spraw zdrowia możliwości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określenia w akcie wykonawczym </w:t>
            </w:r>
            <w:r w:rsidRPr="002C66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celu prowadzenia rejestru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2C6677"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>Ponadto projektowany przepis nie zawiera żadnej regulacji o charakterze normatywnym, ponieważ w całości ogranicza się do opisowego wskazania celu, któremu służy rejestr, nie ustanawiając norm związanych z tym celem.</w:t>
            </w:r>
          </w:p>
        </w:tc>
        <w:tc>
          <w:tcPr>
            <w:tcW w:w="4395" w:type="dxa"/>
            <w:vAlign w:val="center"/>
          </w:tcPr>
          <w:p w14:paraId="029C053A" w14:textId="24DBE97F" w:rsidR="00A06425" w:rsidRPr="00A06425" w:rsidRDefault="004D4BBE" w:rsidP="002C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D135A1">
              <w:rPr>
                <w:rFonts w:asciiTheme="minorHAnsi" w:hAnsiTheme="minorHAnsi" w:cstheme="minorHAnsi"/>
                <w:sz w:val="22"/>
                <w:szCs w:val="22"/>
              </w:rPr>
              <w:t>ykreślenie przepisu z projektu i ewentualne opisanie celu prowadzenia rejestru w uzasadnieniu do projektu.</w:t>
            </w:r>
            <w:r w:rsidR="00BD210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59" w:type="dxa"/>
          </w:tcPr>
          <w:p w14:paraId="36813DB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5094B466" w14:textId="77777777" w:rsidTr="002C6677">
        <w:tc>
          <w:tcPr>
            <w:tcW w:w="562" w:type="dxa"/>
            <w:vAlign w:val="center"/>
          </w:tcPr>
          <w:p w14:paraId="293F20E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5DD45BB" w14:textId="77777777" w:rsidR="00A06425" w:rsidRPr="00A06425" w:rsidRDefault="00014DCB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Rządowe Centrum Legislacji</w:t>
            </w:r>
          </w:p>
        </w:tc>
        <w:tc>
          <w:tcPr>
            <w:tcW w:w="1418" w:type="dxa"/>
            <w:vAlign w:val="center"/>
          </w:tcPr>
          <w:p w14:paraId="44C909A6" w14:textId="5BC35C26" w:rsidR="00A06425" w:rsidRPr="00A06425" w:rsidRDefault="00D135A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>§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6378" w:type="dxa"/>
          </w:tcPr>
          <w:p w14:paraId="3669F9E8" w14:textId="5A9C040C" w:rsidR="00A06425" w:rsidRPr="00BD2101" w:rsidRDefault="00D135A1" w:rsidP="002C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Zgodnie z § 3 projektu rozporządzenia, podmiotem prowadzącym rejestr miałby być w różnych zakresach Narodowy Fundusz Zdrowia oraz Samodzielny Publiczny Szpital Kliniczny im. prof. Adama Grucy. </w:t>
            </w:r>
            <w:r w:rsidR="002C6677"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Należy podkreślić, że art. 20 ust. 1 </w:t>
            </w:r>
            <w:r w:rsidR="002C6677" w:rsidRPr="002C667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ustawy z dnia 28 kwietnia 2011 r. o systemie informacji w ochronie zdrowia</w:t>
            </w:r>
            <w:r w:rsidR="002C6677"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 przewiduje możliwości prowadzenia jednego rejestru przed dwa odrębne podmioty o różnym zakresie kompetencji, a wyraźnie wskazuje kompetencje Ministra Zdrowia do określenia „podmiotu prowadzącego rejestr” w liczbie pojedynczej – oznacza to, że powinien istnieć jeden podmiot prowadzący rejestr w całości</w:t>
            </w:r>
            <w:r w:rsidR="002C6677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1AA50CD4" w14:textId="2BE92793" w:rsidR="00A06425" w:rsidRPr="00A06425" w:rsidRDefault="00D135A1" w:rsidP="00AC0C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Należy określić jeden podmiot prowadzący rejestr.</w:t>
            </w:r>
          </w:p>
        </w:tc>
        <w:tc>
          <w:tcPr>
            <w:tcW w:w="1359" w:type="dxa"/>
          </w:tcPr>
          <w:p w14:paraId="48E9E8C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2D01" w:rsidRPr="00A06425" w14:paraId="652DF7EF" w14:textId="77777777" w:rsidTr="002C66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3D4D" w14:textId="31E84D9C" w:rsidR="00002D01" w:rsidRPr="00A06425" w:rsidRDefault="002C6677" w:rsidP="00684DA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7D4D" w14:textId="77777777" w:rsidR="00002D01" w:rsidRPr="00A06425" w:rsidRDefault="00002D01" w:rsidP="00684DA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Rządowe Centrum Legislacji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D401" w14:textId="7C97E3C2" w:rsidR="00002D01" w:rsidRPr="00A06425" w:rsidRDefault="00002D01" w:rsidP="00684D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>§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CD2" w14:textId="1756BB3D" w:rsidR="00002D01" w:rsidRPr="00BD2101" w:rsidRDefault="00AC0C2A" w:rsidP="00AC0C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§ 9 projektu stanowi, że dane dotyczące osób zmarłych podlegają procesowi </w:t>
            </w:r>
            <w:proofErr w:type="spellStart"/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t>anonimizacji</w:t>
            </w:r>
            <w:proofErr w:type="spellEnd"/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oraz, że Narodowy Fundusz Zdrowia nie rzadziej niż co 6 miesięcy przekazuje do rejestru informacje o dacie </w:t>
            </w:r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zgonu usługobiorców, przy czym § 9 ust. 1 nakazuje </w:t>
            </w:r>
            <w:proofErr w:type="spellStart"/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t>anonimizację</w:t>
            </w:r>
            <w:proofErr w:type="spellEnd"/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danych osób zmarłych, podczas gdy § 9 ust. 2 zobowiązuje Narodowy Fundusz Zdrowia do przekazywania do rejestru informacji o dacie zgonu usługobiorców – co wydaje się być daną osobową umożliwiającą identyfikację danego świadczeniobiorcy i tym samym być sprzeczne z celem </w:t>
            </w:r>
            <w:proofErr w:type="spellStart"/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t>anonimizacji</w:t>
            </w:r>
            <w:proofErr w:type="spellEnd"/>
            <w:r w:rsidRPr="00AC0C2A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A1B1" w14:textId="517B362B" w:rsidR="00002D01" w:rsidRPr="00A06425" w:rsidRDefault="00002D01" w:rsidP="00AC0C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Należy określić moment dokonania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anonimizacji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r w:rsidR="002C6677">
              <w:rPr>
                <w:rFonts w:asciiTheme="minorHAnsi" w:hAnsiTheme="minorHAnsi" w:cstheme="minorHAnsi"/>
                <w:sz w:val="22"/>
                <w:szCs w:val="22"/>
              </w:rPr>
              <w:t xml:space="preserve">wskazać w przepisie czy dane </w:t>
            </w:r>
            <w:r w:rsidR="002C66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zanonimizowane mogą być wciąż powiązane z datą zgonu.</w:t>
            </w:r>
            <w:r w:rsidR="004A35B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CF22" w14:textId="77777777" w:rsidR="00002D01" w:rsidRPr="00A06425" w:rsidRDefault="00002D01" w:rsidP="00684D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3A0549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2D01"/>
    <w:rsid w:val="00004B94"/>
    <w:rsid w:val="00014DCB"/>
    <w:rsid w:val="00034258"/>
    <w:rsid w:val="001053DF"/>
    <w:rsid w:val="00140BE8"/>
    <w:rsid w:val="0017397C"/>
    <w:rsid w:val="0019648E"/>
    <w:rsid w:val="0025593E"/>
    <w:rsid w:val="002715B2"/>
    <w:rsid w:val="00276CBC"/>
    <w:rsid w:val="002C6677"/>
    <w:rsid w:val="002E2609"/>
    <w:rsid w:val="003124D1"/>
    <w:rsid w:val="003B055E"/>
    <w:rsid w:val="003B0F4A"/>
    <w:rsid w:val="003B4105"/>
    <w:rsid w:val="003D58CD"/>
    <w:rsid w:val="0044192C"/>
    <w:rsid w:val="004A35B7"/>
    <w:rsid w:val="004B4D7D"/>
    <w:rsid w:val="004D086F"/>
    <w:rsid w:val="004D4BBE"/>
    <w:rsid w:val="0051435F"/>
    <w:rsid w:val="005F6527"/>
    <w:rsid w:val="006705EC"/>
    <w:rsid w:val="006A5FD2"/>
    <w:rsid w:val="006E16E9"/>
    <w:rsid w:val="00807385"/>
    <w:rsid w:val="00944932"/>
    <w:rsid w:val="009E5FDB"/>
    <w:rsid w:val="00A06425"/>
    <w:rsid w:val="00AC0C2A"/>
    <w:rsid w:val="00AC7796"/>
    <w:rsid w:val="00B76B84"/>
    <w:rsid w:val="00B871B6"/>
    <w:rsid w:val="00B90092"/>
    <w:rsid w:val="00BD2101"/>
    <w:rsid w:val="00C1525D"/>
    <w:rsid w:val="00C52E97"/>
    <w:rsid w:val="00C64B1B"/>
    <w:rsid w:val="00CD5EB0"/>
    <w:rsid w:val="00D135A1"/>
    <w:rsid w:val="00E14C33"/>
    <w:rsid w:val="00EC1D83"/>
    <w:rsid w:val="00F9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CE0AB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Olszak Krzysztof</cp:lastModifiedBy>
  <cp:revision>7</cp:revision>
  <dcterms:created xsi:type="dcterms:W3CDTF">2026-06-15T08:03:00Z</dcterms:created>
  <dcterms:modified xsi:type="dcterms:W3CDTF">2026-06-15T12:38:00Z</dcterms:modified>
</cp:coreProperties>
</file>